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1AFC5994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72EC1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714DB94E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72EC1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501E999" w14:textId="7F3348F0" w:rsidR="007E7D00" w:rsidRDefault="007E7D00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A1744">
        <w:rPr>
          <w:rFonts w:ascii="Arial" w:eastAsiaTheme="minorHAnsi" w:hAnsi="Arial" w:cs="Arial"/>
          <w:lang w:val="es-MX"/>
        </w:rPr>
        <w:t xml:space="preserve">da. </w:t>
      </w:r>
      <w:r w:rsidR="004C0313">
        <w:rPr>
          <w:rFonts w:ascii="Arial" w:eastAsiaTheme="minorHAnsi" w:hAnsi="Arial" w:cs="Arial"/>
          <w:lang w:val="es-MX"/>
        </w:rPr>
        <w:t>Heidi Andrea Calmo Rendón</w:t>
      </w:r>
    </w:p>
    <w:p w14:paraId="056B5413" w14:textId="4011B629" w:rsidR="007E7D00" w:rsidRDefault="004C0313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472EC1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2022-06-06T18:14:00Z</cp:lastPrinted>
  <dcterms:created xsi:type="dcterms:W3CDTF">2022-02-07T18:33:00Z</dcterms:created>
  <dcterms:modified xsi:type="dcterms:W3CDTF">2022-06-06T18:14:00Z</dcterms:modified>
</cp:coreProperties>
</file>