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CE209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INFORMACIÓN DE CONTRATOS DE MANTENIMIENTO</w:t>
      </w:r>
    </w:p>
    <w:p w14:paraId="1DF3A9EE" w14:textId="0C6B230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(Artículo 10, Numeral 14, Ley de Acceso a la Información Pública)</w:t>
      </w:r>
    </w:p>
    <w:p w14:paraId="76DC97C7" w14:textId="658198A3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394338">
        <w:rPr>
          <w:lang w:val="es-GT"/>
        </w:rPr>
        <w:t>JUNIO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7A05977A" w:rsidR="002E102B" w:rsidRDefault="002E102B" w:rsidP="005F49E7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394338">
        <w:rPr>
          <w:lang w:val="es-GT"/>
        </w:rPr>
        <w:t xml:space="preserve"> junio</w:t>
      </w:r>
      <w:r>
        <w:rPr>
          <w:lang w:val="es-GT"/>
        </w:rPr>
        <w:t xml:space="preserve"> 2023, dentro de los registros que obran en la Unidad de Administración Financiera, el Consejo Nacional de Adopciones no tiene ejecución de contratos firmados por mantenimiento de equipo, vehículos, inmuebles, plantas e instalaciones.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2E8EEFDC" w14:textId="77777777" w:rsidR="002E102B" w:rsidRPr="004F0103" w:rsidRDefault="002E102B" w:rsidP="002E102B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2E102B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C104C" w14:textId="77777777" w:rsidR="005670C1" w:rsidRDefault="005670C1">
      <w:r>
        <w:separator/>
      </w:r>
    </w:p>
  </w:endnote>
  <w:endnote w:type="continuationSeparator" w:id="0">
    <w:p w14:paraId="28759BEB" w14:textId="77777777" w:rsidR="005670C1" w:rsidRDefault="0056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216CC" w14:textId="77777777" w:rsidR="005670C1" w:rsidRDefault="005670C1">
      <w:r>
        <w:separator/>
      </w:r>
    </w:p>
  </w:footnote>
  <w:footnote w:type="continuationSeparator" w:id="0">
    <w:p w14:paraId="222599F8" w14:textId="77777777" w:rsidR="005670C1" w:rsidRDefault="00567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4338"/>
    <w:rsid w:val="0039751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0C1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62A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49E7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16A5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052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2</cp:revision>
  <cp:lastPrinted>2023-01-11T14:37:00Z</cp:lastPrinted>
  <dcterms:created xsi:type="dcterms:W3CDTF">2023-07-04T16:11:00Z</dcterms:created>
  <dcterms:modified xsi:type="dcterms:W3CDTF">2023-07-04T16:11:00Z</dcterms:modified>
</cp:coreProperties>
</file>